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363DA032" w:rsidR="00B76CB8" w:rsidRDefault="00B76CB8" w:rsidP="00B76CB8">
      <w:pPr>
        <w:jc w:val="center"/>
        <w:rPr>
          <w:b/>
        </w:rPr>
      </w:pPr>
      <w:r w:rsidRPr="00632131">
        <w:rPr>
          <w:b/>
          <w:color w:val="000000"/>
          <w:spacing w:val="-2"/>
        </w:rPr>
        <w:t>DĖL</w:t>
      </w:r>
      <w:r>
        <w:rPr>
          <w:color w:val="000000"/>
          <w:spacing w:val="-2"/>
        </w:rPr>
        <w:t xml:space="preserve"> </w:t>
      </w:r>
      <w:r>
        <w:rPr>
          <w:b/>
        </w:rPr>
        <w:t>NAUDOJAMO KITOS PASKIRTIES VALSTYBINĖS ŽEMĖS SKLYPO</w:t>
      </w:r>
      <w:r w:rsidR="00E860A4">
        <w:rPr>
          <w:b/>
        </w:rPr>
        <w:t>,</w:t>
      </w:r>
      <w:r w:rsidR="006446AE">
        <w:rPr>
          <w:b/>
        </w:rPr>
        <w:t xml:space="preserve"> </w:t>
      </w:r>
      <w:r w:rsidR="00E860A4">
        <w:rPr>
          <w:b/>
        </w:rPr>
        <w:t>ESANČIO</w:t>
      </w:r>
      <w:r w:rsidR="00E860A4" w:rsidRPr="008E23A1">
        <w:rPr>
          <w:b/>
        </w:rPr>
        <w:t xml:space="preserve"> </w:t>
      </w:r>
      <w:r w:rsidR="00D51472">
        <w:rPr>
          <w:b/>
        </w:rPr>
        <w:t>RESPUBLIKOS</w:t>
      </w:r>
      <w:r w:rsidR="00E860A4">
        <w:rPr>
          <w:b/>
        </w:rPr>
        <w:t xml:space="preserve"> G</w:t>
      </w:r>
      <w:r w:rsidR="001C568E">
        <w:rPr>
          <w:b/>
        </w:rPr>
        <w:t>ATVĖJE</w:t>
      </w:r>
      <w:r w:rsidR="00E860A4">
        <w:rPr>
          <w:b/>
        </w:rPr>
        <w:t>, ROKIŠK</w:t>
      </w:r>
      <w:r w:rsidR="00D51472">
        <w:rPr>
          <w:b/>
        </w:rPr>
        <w:t>YJE,</w:t>
      </w:r>
      <w:r w:rsidR="00F71407">
        <w:rPr>
          <w:b/>
        </w:rPr>
        <w:t xml:space="preserve"> ROKIŠKIO RAJONO SAVIVALDYBĖJE,</w:t>
      </w:r>
      <w:r w:rsidR="00D51472">
        <w:rPr>
          <w:b/>
        </w:rPr>
        <w:t xml:space="preserve"> </w:t>
      </w:r>
      <w:r w:rsidR="00E860A4">
        <w:rPr>
          <w:b/>
        </w:rPr>
        <w:t xml:space="preserve">NUOMOS </w:t>
      </w:r>
    </w:p>
    <w:p w14:paraId="36EECA7A" w14:textId="77777777" w:rsidR="00174E1E" w:rsidRDefault="00174E1E" w:rsidP="00174E1E">
      <w:pPr>
        <w:jc w:val="center"/>
      </w:pPr>
    </w:p>
    <w:p w14:paraId="01DA7E78" w14:textId="6D0CE88C"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 xml:space="preserve">d. Nr. </w:t>
      </w:r>
      <w:r w:rsidR="00655C2A">
        <w:rPr>
          <w:lang w:val="lt-LT"/>
        </w:rPr>
        <w:t>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32BF1E36"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w:t>
      </w:r>
      <w:r w:rsidR="004B1A36">
        <w:rPr>
          <w:lang w:val="lt-LT"/>
        </w:rPr>
        <w:t xml:space="preserve"> 3 dalimi,</w:t>
      </w:r>
      <w:r w:rsidRPr="00F434C2">
        <w:rPr>
          <w:lang w:val="lt-LT"/>
        </w:rPr>
        <w:t xml:space="preserve"> 6 dalies 1 punktu, </w:t>
      </w:r>
      <w:r w:rsidR="00986CCA">
        <w:rPr>
          <w:lang w:val="lt-LT"/>
        </w:rPr>
        <w:t xml:space="preserve">Dėl </w:t>
      </w:r>
      <w:r w:rsidRPr="00F434C2">
        <w:rPr>
          <w:lang w:val="lt-LT"/>
        </w:rPr>
        <w:t xml:space="preserve">kitos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sidR="00482C77">
        <w:rPr>
          <w:lang w:val="lt-LT"/>
        </w:rPr>
        <w:t xml:space="preserve"> </w:t>
      </w:r>
      <w:r w:rsidR="00482C77" w:rsidRPr="00482C77">
        <w:rPr>
          <w:lang w:val="lt-LT"/>
        </w:rPr>
        <w:t xml:space="preserve">(Lietuvos Respublikos Vyriausybės 2024 m. kovo 27 d. nutarimo Nr. </w:t>
      </w:r>
      <w:r w:rsidR="00482C77" w:rsidRPr="00482C77">
        <w:rPr>
          <w:lang w:val="lt-LT" w:eastAsia="lt-LT"/>
        </w:rPr>
        <w:t>210</w:t>
      </w:r>
      <w:r w:rsidR="00482C77" w:rsidRPr="00482C77">
        <w:rPr>
          <w:lang w:val="lt-LT"/>
        </w:rPr>
        <w:t xml:space="preserve"> redakcija)</w:t>
      </w:r>
      <w:r w:rsidR="00D50203" w:rsidRPr="00482C77">
        <w:rPr>
          <w:lang w:val="lt-LT"/>
        </w:rPr>
        <w:t>,</w:t>
      </w:r>
      <w:r w:rsidR="00BD49DC" w:rsidRPr="00482C77">
        <w:rPr>
          <w:lang w:val="lt-LT"/>
        </w:rPr>
        <w:t xml:space="preserve"> </w:t>
      </w:r>
      <w:r w:rsidRPr="00482C77">
        <w:rPr>
          <w:lang w:val="lt-LT"/>
        </w:rPr>
        <w:t>3</w:t>
      </w:r>
      <w:r w:rsidR="00BD49DC" w:rsidRPr="00482C77">
        <w:rPr>
          <w:lang w:val="lt-LT"/>
        </w:rPr>
        <w:t>5</w:t>
      </w:r>
      <w:r w:rsidR="00852C91" w:rsidRPr="00482C77">
        <w:rPr>
          <w:lang w:val="lt-LT"/>
        </w:rPr>
        <w:t>, 4</w:t>
      </w:r>
      <w:r w:rsidR="00BD49DC" w:rsidRPr="00482C77">
        <w:rPr>
          <w:lang w:val="lt-LT"/>
        </w:rPr>
        <w:t>4</w:t>
      </w:r>
      <w:r w:rsidRPr="00482C77">
        <w:rPr>
          <w:lang w:val="lt-LT"/>
        </w:rPr>
        <w:t xml:space="preserve"> punk</w:t>
      </w:r>
      <w:r w:rsidRPr="00F434C2">
        <w:rPr>
          <w:lang w:val="lt-LT"/>
        </w:rPr>
        <w:t>tais</w:t>
      </w:r>
      <w:r w:rsidRPr="005754A3">
        <w:rPr>
          <w:lang w:val="lt-LT"/>
        </w:rPr>
        <w:t>,</w:t>
      </w:r>
      <w:r w:rsidR="005754A3" w:rsidRPr="005754A3">
        <w:rPr>
          <w:lang w:val="lt-LT"/>
        </w:rPr>
        <w:t xml:space="preserve"> </w:t>
      </w:r>
      <w:r w:rsidR="005754A3" w:rsidRPr="005754A3">
        <w:rPr>
          <w:color w:val="000000"/>
          <w:lang w:val="lt-LT"/>
        </w:rPr>
        <w:t xml:space="preserve">statybos techninio reglamento STR 1.12.06:2002 „Statinio naudojimo paskirtis ir gyvavimo trukmė“, patvirtinto Lietuvos Respublikos aplinkos ministro 2002 m. spalio 30 d. įsakymu Nr. 565 „Dėl </w:t>
      </w:r>
      <w:r w:rsidR="00FC238E">
        <w:rPr>
          <w:color w:val="000000"/>
          <w:lang w:val="lt-LT"/>
        </w:rPr>
        <w:t>S</w:t>
      </w:r>
      <w:r w:rsidR="005754A3" w:rsidRPr="005754A3">
        <w:rPr>
          <w:color w:val="000000"/>
          <w:lang w:val="lt-LT"/>
        </w:rPr>
        <w:t xml:space="preserve">tatybos techninio reglamento STR 1.12.06:2002 „Statinio naudojimo paskirtis ir gyvavimo trukmė“ patvirtinimo“, </w:t>
      </w:r>
      <w:r w:rsidR="008B0A22" w:rsidRPr="005754A3">
        <w:rPr>
          <w:lang w:val="lt-LT"/>
        </w:rPr>
        <w:t xml:space="preserve">atsižvelgdama į 2024 m. sausio </w:t>
      </w:r>
      <w:r w:rsidR="008B2D71" w:rsidRPr="005754A3">
        <w:rPr>
          <w:lang w:val="lt-LT"/>
        </w:rPr>
        <w:t>1</w:t>
      </w:r>
      <w:r w:rsidR="008B0A22" w:rsidRPr="005754A3">
        <w:rPr>
          <w:lang w:val="lt-LT"/>
        </w:rPr>
        <w:t xml:space="preserve">5 d. </w:t>
      </w:r>
      <w:r w:rsidR="008B2D71" w:rsidRPr="005754A3">
        <w:rPr>
          <w:lang w:val="lt-LT"/>
        </w:rPr>
        <w:t>pirkimo- pardavimo</w:t>
      </w:r>
      <w:r w:rsidR="008B0A22" w:rsidRPr="005754A3">
        <w:rPr>
          <w:lang w:val="lt-LT"/>
        </w:rPr>
        <w:t xml:space="preserve"> sutartį</w:t>
      </w:r>
      <w:r w:rsidR="008B0A22" w:rsidRPr="00701268">
        <w:rPr>
          <w:lang w:val="lt-LT"/>
        </w:rPr>
        <w:t xml:space="preserve">, notarinio registro Nr. </w:t>
      </w:r>
      <w:r w:rsidR="008B2D71">
        <w:rPr>
          <w:lang w:val="lt-LT"/>
        </w:rPr>
        <w:t>125</w:t>
      </w:r>
      <w:r w:rsidR="008B0A22" w:rsidRPr="001916A6">
        <w:rPr>
          <w:lang w:val="lt-LT"/>
        </w:rPr>
        <w:t xml:space="preserve"> </w:t>
      </w:r>
      <w:r w:rsidR="008B0A22">
        <w:rPr>
          <w:lang w:val="lt-LT"/>
        </w:rPr>
        <w:t>bei</w:t>
      </w:r>
      <w:r w:rsidRPr="00F434C2">
        <w:rPr>
          <w:lang w:val="lt-LT"/>
        </w:rPr>
        <w:t xml:space="preserve"> </w:t>
      </w:r>
      <w:r w:rsidR="00F3442B">
        <w:rPr>
          <w:lang w:val="lt-LT"/>
        </w:rPr>
        <w:t>(</w:t>
      </w:r>
      <w:r w:rsidR="00F3442B" w:rsidRPr="00F3442B">
        <w:rPr>
          <w:i/>
          <w:iCs/>
          <w:lang w:val="lt-LT"/>
        </w:rPr>
        <w:t>duomenys neskelbiami</w:t>
      </w:r>
      <w:r w:rsidR="00F3442B">
        <w:rPr>
          <w:lang w:val="lt-LT"/>
        </w:rPr>
        <w:t>)</w:t>
      </w:r>
      <w:r w:rsidR="00E26946">
        <w:rPr>
          <w:lang w:val="lt-LT"/>
        </w:rPr>
        <w:t xml:space="preserve"> </w:t>
      </w:r>
      <w:r w:rsidRPr="00F434C2">
        <w:rPr>
          <w:lang w:val="lt-LT"/>
        </w:rPr>
        <w:t>202</w:t>
      </w:r>
      <w:r>
        <w:rPr>
          <w:lang w:val="lt-LT"/>
        </w:rPr>
        <w:t>4</w:t>
      </w:r>
      <w:r w:rsidRPr="00F434C2">
        <w:rPr>
          <w:lang w:val="lt-LT"/>
        </w:rPr>
        <w:t xml:space="preserve"> m. </w:t>
      </w:r>
      <w:r>
        <w:rPr>
          <w:lang w:val="lt-LT"/>
        </w:rPr>
        <w:t>vasario</w:t>
      </w:r>
      <w:r w:rsidRPr="00F434C2">
        <w:rPr>
          <w:lang w:val="lt-LT"/>
        </w:rPr>
        <w:t xml:space="preserve"> </w:t>
      </w:r>
      <w:r w:rsidR="008B2D71">
        <w:rPr>
          <w:lang w:val="lt-LT"/>
        </w:rPr>
        <w:t>23</w:t>
      </w:r>
      <w:r w:rsidRPr="00F434C2">
        <w:rPr>
          <w:lang w:val="lt-LT"/>
        </w:rPr>
        <w:t> 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235B3EF7"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 xml:space="preserve">Išnuomoti </w:t>
      </w:r>
      <w:r w:rsidR="0076757A">
        <w:rPr>
          <w:lang w:val="lt-LT"/>
        </w:rPr>
        <w:t>0,</w:t>
      </w:r>
      <w:r w:rsidR="00F71407">
        <w:rPr>
          <w:lang w:val="lt-LT"/>
        </w:rPr>
        <w:t>1137</w:t>
      </w:r>
      <w:r w:rsidR="0076757A">
        <w:rPr>
          <w:lang w:val="lt-LT"/>
        </w:rPr>
        <w:t xml:space="preserve"> ha </w:t>
      </w:r>
      <w:r w:rsidR="00F71407">
        <w:rPr>
          <w:lang w:val="lt-LT"/>
        </w:rPr>
        <w:t xml:space="preserve">ploto </w:t>
      </w:r>
      <w:r w:rsidR="00C81AD4" w:rsidRPr="00F61BC2">
        <w:rPr>
          <w:lang w:val="lt-LT"/>
        </w:rPr>
        <w:t>kitos paskirties valstybinės žemės sklyp</w:t>
      </w:r>
      <w:r w:rsidR="00F71407">
        <w:rPr>
          <w:lang w:val="lt-LT"/>
        </w:rPr>
        <w:t>ą</w:t>
      </w:r>
      <w:r w:rsidR="005877ED">
        <w:rPr>
          <w:lang w:val="lt-LT"/>
        </w:rPr>
        <w:t>,</w:t>
      </w:r>
      <w:r w:rsidR="00C81AD4" w:rsidRPr="00F61BC2">
        <w:rPr>
          <w:lang w:val="lt-LT"/>
        </w:rPr>
        <w:t xml:space="preserve"> </w:t>
      </w:r>
      <w:r w:rsidR="00F71407">
        <w:rPr>
          <w:lang w:val="lt-LT"/>
        </w:rPr>
        <w:t>(</w:t>
      </w:r>
      <w:r w:rsidR="00C81AD4" w:rsidRPr="00F61BC2">
        <w:rPr>
          <w:lang w:val="lt-LT"/>
        </w:rPr>
        <w:t>kadastro Nr. 73</w:t>
      </w:r>
      <w:r w:rsidR="001916A6" w:rsidRPr="00F61BC2">
        <w:rPr>
          <w:lang w:val="lt-LT"/>
        </w:rPr>
        <w:t>7</w:t>
      </w:r>
      <w:r w:rsidR="00F71407">
        <w:rPr>
          <w:lang w:val="lt-LT"/>
        </w:rPr>
        <w:t>5</w:t>
      </w:r>
      <w:r w:rsidR="00C81AD4" w:rsidRPr="00F61BC2">
        <w:rPr>
          <w:lang w:val="lt-LT"/>
        </w:rPr>
        <w:t>/00</w:t>
      </w:r>
      <w:r w:rsidR="00F71407">
        <w:rPr>
          <w:lang w:val="lt-LT"/>
        </w:rPr>
        <w:t>15</w:t>
      </w:r>
      <w:r w:rsidR="00C81AD4" w:rsidRPr="00F61BC2">
        <w:rPr>
          <w:lang w:val="lt-LT"/>
        </w:rPr>
        <w:t>:</w:t>
      </w:r>
      <w:r w:rsidR="006F35EB">
        <w:rPr>
          <w:lang w:val="lt-LT"/>
        </w:rPr>
        <w:t>(</w:t>
      </w:r>
      <w:r w:rsidR="006F35EB" w:rsidRPr="006F35EB">
        <w:rPr>
          <w:i/>
          <w:iCs/>
          <w:lang w:val="lt-LT"/>
        </w:rPr>
        <w:t>duomenys neskelbiami</w:t>
      </w:r>
      <w:r w:rsidR="006F35EB">
        <w:rPr>
          <w:lang w:val="lt-LT"/>
        </w:rPr>
        <w:t>)</w:t>
      </w:r>
      <w:r w:rsidR="00C81AD4" w:rsidRPr="00F61BC2">
        <w:rPr>
          <w:lang w:val="lt-LT"/>
        </w:rPr>
        <w:t>, unikalus Nr. 4400-</w:t>
      </w:r>
      <w:r w:rsidR="00F71407">
        <w:rPr>
          <w:lang w:val="lt-LT"/>
        </w:rPr>
        <w:t>5615</w:t>
      </w:r>
      <w:r w:rsidR="001916A6" w:rsidRPr="00F61BC2">
        <w:rPr>
          <w:lang w:val="lt-LT"/>
        </w:rPr>
        <w:t>-</w:t>
      </w:r>
      <w:r w:rsidR="006F35EB">
        <w:rPr>
          <w:i/>
          <w:iCs/>
          <w:lang w:val="lt-LT"/>
        </w:rPr>
        <w:t>(</w:t>
      </w:r>
      <w:r w:rsidR="006F35EB" w:rsidRPr="006F35EB">
        <w:rPr>
          <w:i/>
          <w:iCs/>
          <w:lang w:val="lt-LT"/>
        </w:rPr>
        <w:t>duomenys neskelbiami</w:t>
      </w:r>
      <w:r w:rsidR="00C81AD4" w:rsidRPr="00F61BC2">
        <w:rPr>
          <w:lang w:val="lt-LT"/>
        </w:rPr>
        <w:t>), esan</w:t>
      </w:r>
      <w:r w:rsidR="00F71407">
        <w:rPr>
          <w:lang w:val="lt-LT"/>
        </w:rPr>
        <w:t>tį Respublikos</w:t>
      </w:r>
      <w:r w:rsidR="001916A6" w:rsidRPr="00F61BC2">
        <w:rPr>
          <w:lang w:val="lt-LT"/>
        </w:rPr>
        <w:t xml:space="preserve"> </w:t>
      </w:r>
      <w:r w:rsidR="00F71407">
        <w:rPr>
          <w:lang w:val="lt-LT"/>
        </w:rPr>
        <w:t xml:space="preserve">g. </w:t>
      </w:r>
      <w:r w:rsidR="00824A70">
        <w:rPr>
          <w:lang w:val="lt-LT"/>
        </w:rPr>
        <w:t>(</w:t>
      </w:r>
      <w:r w:rsidR="00327BA8">
        <w:rPr>
          <w:i/>
          <w:iCs/>
          <w:lang w:val="lt-LT"/>
        </w:rPr>
        <w:t>duomenys</w:t>
      </w:r>
      <w:r w:rsidR="006F35EB" w:rsidRPr="006F35EB">
        <w:rPr>
          <w:i/>
          <w:iCs/>
          <w:lang w:val="lt-LT"/>
        </w:rPr>
        <w:t xml:space="preserve"> neskelbiam</w:t>
      </w:r>
      <w:r w:rsidR="00327BA8">
        <w:rPr>
          <w:i/>
          <w:iCs/>
          <w:lang w:val="lt-LT"/>
        </w:rPr>
        <w:t>i</w:t>
      </w:r>
      <w:r w:rsidR="006F35EB" w:rsidRPr="006F35EB">
        <w:rPr>
          <w:i/>
          <w:iCs/>
          <w:lang w:val="lt-LT"/>
        </w:rPr>
        <w:t>)</w:t>
      </w:r>
      <w:r w:rsidR="00F71407">
        <w:rPr>
          <w:lang w:val="lt-LT"/>
        </w:rPr>
        <w:t>, Rokiškio mieste, Rokiškio rajono savivaldybėj</w:t>
      </w:r>
      <w:r w:rsidR="00E65D68">
        <w:rPr>
          <w:lang w:val="lt-LT"/>
        </w:rPr>
        <w:t>e.</w:t>
      </w:r>
    </w:p>
    <w:p w14:paraId="3454BAEE" w14:textId="5F4BF2D5" w:rsidR="00361AA1" w:rsidRPr="00E26946"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sklypas išnuomojamas</w:t>
      </w:r>
      <w:r w:rsidR="00B87347" w:rsidRPr="00B87347">
        <w:rPr>
          <w:color w:val="FF0000"/>
          <w:lang w:val="lt-LT"/>
        </w:rPr>
        <w:t xml:space="preserve"> </w:t>
      </w:r>
      <w:r w:rsidR="00E26946" w:rsidRPr="00E26946">
        <w:rPr>
          <w:color w:val="000000"/>
          <w:lang w:val="lt-LT"/>
        </w:rPr>
        <w:t>aštuoniasdešimt vienerių (81) metų laikotarpiui, skaičiuojant nuo</w:t>
      </w:r>
      <w:r w:rsidR="00D613CD">
        <w:rPr>
          <w:color w:val="000000"/>
          <w:lang w:val="lt-LT"/>
        </w:rPr>
        <w:t xml:space="preserve"> </w:t>
      </w:r>
      <w:r w:rsidR="00E26946" w:rsidRPr="00E26946">
        <w:rPr>
          <w:color w:val="000000"/>
          <w:lang w:val="lt-LT"/>
        </w:rPr>
        <w:t>sutarties sudarymo dienos.</w:t>
      </w:r>
    </w:p>
    <w:p w14:paraId="32F6629F" w14:textId="4DFAF87E"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3969D614" w14:textId="77777777" w:rsidR="005824CF" w:rsidRDefault="005824CF"/>
    <w:p w14:paraId="73B42007" w14:textId="77777777" w:rsidR="001910CC" w:rsidRDefault="001910CC"/>
    <w:p w14:paraId="2965BA94" w14:textId="77777777"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0AC1A519" w14:textId="738277EE" w:rsidR="001910CC" w:rsidRPr="00FC238E" w:rsidRDefault="00D34063" w:rsidP="00D34063">
      <w:pPr>
        <w:jc w:val="center"/>
        <w:rPr>
          <w:rStyle w:val="Bodytext2TimesNewRoman"/>
          <w:b/>
          <w:color w:val="auto"/>
          <w:lang w:eastAsia="en-US" w:bidi="ar-SA"/>
        </w:rPr>
      </w:pPr>
      <w:r w:rsidRPr="00FC238E">
        <w:rPr>
          <w:b/>
          <w:color w:val="000000"/>
          <w:spacing w:val="-2"/>
          <w:lang w:val="lt-LT"/>
        </w:rPr>
        <w:t>DĖL</w:t>
      </w:r>
      <w:r w:rsidRPr="00FC238E">
        <w:rPr>
          <w:color w:val="000000"/>
          <w:spacing w:val="-2"/>
          <w:lang w:val="lt-LT"/>
        </w:rPr>
        <w:t xml:space="preserve"> </w:t>
      </w:r>
      <w:r w:rsidRPr="00FC238E">
        <w:rPr>
          <w:b/>
          <w:lang w:val="lt-LT"/>
        </w:rPr>
        <w:t>NAUDOJAMO KITOS PASKIRTIES VALSTYBINĖS ŽEMĖS SKLYPO, ESANČIO RESPUBLIKOS GATVĖJE, ROKIŠKYJE, ROKIŠKIO RAJONO SAVIVALDYBĖJE, NUOMOS</w:t>
      </w:r>
      <w:r w:rsidR="001910CC">
        <w:rPr>
          <w:rStyle w:val="Bodytext2TimesNewRoman"/>
          <w:rFonts w:eastAsia="Book Antiqua"/>
          <w:b/>
          <w:shd w:val="clear" w:color="auto" w:fill="FFFFFF"/>
        </w:rPr>
        <w:t xml:space="preserve"> </w:t>
      </w:r>
      <w:r w:rsidR="001910CC" w:rsidRPr="004E3141">
        <w:rPr>
          <w:rStyle w:val="Bodytext2TimesNewRoman"/>
          <w:rFonts w:eastAsia="Book Antiqua"/>
          <w:b/>
          <w:shd w:val="clear" w:color="auto" w:fill="FFFFFF"/>
        </w:rPr>
        <w:t>AIŠKINAMASIS RAŠTAS</w:t>
      </w:r>
    </w:p>
    <w:p w14:paraId="41E7747E" w14:textId="77777777" w:rsidR="001910CC" w:rsidRPr="00FC238E" w:rsidRDefault="001910CC" w:rsidP="001910CC">
      <w:pPr>
        <w:jc w:val="center"/>
        <w:rPr>
          <w:b/>
          <w:bCs/>
          <w:caps/>
          <w:lang w:val="lt-LT"/>
        </w:rPr>
      </w:pPr>
    </w:p>
    <w:p w14:paraId="55DCC671" w14:textId="6FD3FF07" w:rsidR="001910CC" w:rsidRPr="00FC238E" w:rsidRDefault="001910CC" w:rsidP="00A652F7">
      <w:pPr>
        <w:jc w:val="center"/>
        <w:rPr>
          <w:iCs/>
          <w:lang w:val="lt-LT"/>
        </w:rPr>
      </w:pPr>
      <w:r w:rsidRPr="00FC238E">
        <w:rPr>
          <w:iCs/>
          <w:lang w:val="lt-LT"/>
        </w:rPr>
        <w:t>2024-0</w:t>
      </w:r>
      <w:r w:rsidR="00D34063" w:rsidRPr="00FC238E">
        <w:rPr>
          <w:iCs/>
          <w:lang w:val="lt-LT"/>
        </w:rPr>
        <w:t>4</w:t>
      </w:r>
      <w:r w:rsidRPr="00FC238E">
        <w:rPr>
          <w:iCs/>
          <w:lang w:val="lt-LT"/>
        </w:rPr>
        <w:t>-</w:t>
      </w:r>
      <w:r w:rsidR="0087752B" w:rsidRPr="00FC238E">
        <w:rPr>
          <w:iCs/>
          <w:lang w:val="lt-LT"/>
        </w:rPr>
        <w:t>2</w:t>
      </w:r>
      <w:r w:rsidR="00D34063" w:rsidRPr="00FC238E">
        <w:rPr>
          <w:iCs/>
          <w:lang w:val="lt-LT"/>
        </w:rPr>
        <w:t>5</w:t>
      </w:r>
      <w:r w:rsidRPr="00FC238E">
        <w:rPr>
          <w:iCs/>
          <w:lang w:val="lt-LT"/>
        </w:rPr>
        <w:t xml:space="preserve">   </w:t>
      </w:r>
    </w:p>
    <w:p w14:paraId="11B5B339" w14:textId="77777777" w:rsidR="001910CC" w:rsidRPr="00FC238E" w:rsidRDefault="001910CC" w:rsidP="001910CC">
      <w:pPr>
        <w:rPr>
          <w:iCs/>
          <w:lang w:val="lt-LT"/>
        </w:rPr>
      </w:pPr>
    </w:p>
    <w:p w14:paraId="02A940D7" w14:textId="77777777" w:rsidR="001910CC" w:rsidRPr="00183766" w:rsidRDefault="001910CC" w:rsidP="001910CC">
      <w:pPr>
        <w:jc w:val="both"/>
        <w:rPr>
          <w:lang w:val="lt-LT"/>
        </w:rPr>
      </w:pPr>
      <w:r w:rsidRPr="00183766">
        <w:rPr>
          <w:lang w:val="lt-LT"/>
        </w:rPr>
        <w:t>Projekto rengėjas – Asta Butėnaitė, Architektūros ir paveldosaugos skyriaus vyriausioji specialistė</w:t>
      </w:r>
    </w:p>
    <w:p w14:paraId="32293540" w14:textId="4871E2C1"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Asta Butėnaitė,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FC238E"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61281554" w:rsidR="001910CC" w:rsidRPr="00D34063" w:rsidRDefault="00040DD6" w:rsidP="0083315F">
            <w:pPr>
              <w:jc w:val="both"/>
              <w:rPr>
                <w:lang w:val="lt-LT"/>
              </w:rPr>
            </w:pPr>
            <w:r>
              <w:rPr>
                <w:color w:val="000000"/>
                <w:lang w:val="lt-LT"/>
              </w:rPr>
              <w:t xml:space="preserve">     </w:t>
            </w:r>
            <w:r w:rsidR="00D34063" w:rsidRPr="00D34063">
              <w:rPr>
                <w:color w:val="000000"/>
                <w:lang w:val="lt-LT"/>
              </w:rPr>
              <w:t xml:space="preserve">Sprendimo projektas parengtas gavus </w:t>
            </w:r>
            <w:r>
              <w:rPr>
                <w:lang w:val="lt-LT"/>
              </w:rPr>
              <w:t>(</w:t>
            </w:r>
            <w:r w:rsidRPr="00F3442B">
              <w:rPr>
                <w:i/>
                <w:iCs/>
                <w:lang w:val="lt-LT"/>
              </w:rPr>
              <w:t>duomenys neskelbiami</w:t>
            </w:r>
            <w:r>
              <w:rPr>
                <w:lang w:val="lt-LT"/>
              </w:rPr>
              <w:t xml:space="preserve">) </w:t>
            </w:r>
            <w:r w:rsidR="00D34063" w:rsidRPr="00D34063">
              <w:rPr>
                <w:color w:val="000000"/>
                <w:lang w:val="lt-LT"/>
              </w:rPr>
              <w:t>2024 m. vasario 23 d. prašymą sudaryti valstybinės žemės sklypo nuomos suta</w:t>
            </w:r>
            <w:r w:rsidR="00D34063">
              <w:rPr>
                <w:color w:val="000000"/>
                <w:lang w:val="lt-LT"/>
              </w:rPr>
              <w:t>r</w:t>
            </w:r>
            <w:r w:rsidR="00D34063" w:rsidRPr="00D34063">
              <w:rPr>
                <w:color w:val="000000"/>
                <w:lang w:val="lt-LT"/>
              </w:rPr>
              <w:t xml:space="preserve">tį. Sprendimo projektu siūloma </w:t>
            </w:r>
            <w:r w:rsidR="00B53456">
              <w:rPr>
                <w:color w:val="000000"/>
                <w:lang w:val="lt-LT"/>
              </w:rPr>
              <w:t>nuspręsti</w:t>
            </w:r>
            <w:r w:rsidR="00D34063" w:rsidRPr="00D34063">
              <w:rPr>
                <w:color w:val="000000"/>
                <w:lang w:val="lt-LT"/>
              </w:rPr>
              <w:t xml:space="preserve"> išnuomoti valstybinės žemės sklypą (kadastro Nr. 7375/0015:</w:t>
            </w:r>
            <w:r w:rsidR="005826A9">
              <w:rPr>
                <w:lang w:val="lt-LT"/>
              </w:rPr>
              <w:t>(</w:t>
            </w:r>
            <w:r w:rsidR="005826A9" w:rsidRPr="00F3442B">
              <w:rPr>
                <w:i/>
                <w:iCs/>
                <w:lang w:val="lt-LT"/>
              </w:rPr>
              <w:t>duomenys neskelbiami</w:t>
            </w:r>
            <w:r w:rsidR="005826A9">
              <w:rPr>
                <w:lang w:val="lt-LT"/>
              </w:rPr>
              <w:t>)</w:t>
            </w:r>
            <w:r w:rsidR="00D34063" w:rsidRPr="00D34063">
              <w:rPr>
                <w:color w:val="000000"/>
                <w:lang w:val="lt-LT"/>
              </w:rPr>
              <w:t>, unikalus Nr. 4400-5615-</w:t>
            </w:r>
            <w:r w:rsidR="005826A9">
              <w:rPr>
                <w:lang w:val="lt-LT"/>
              </w:rPr>
              <w:t>(</w:t>
            </w:r>
            <w:r w:rsidR="005826A9" w:rsidRPr="00F3442B">
              <w:rPr>
                <w:i/>
                <w:iCs/>
                <w:lang w:val="lt-LT"/>
              </w:rPr>
              <w:t>duomenys neskelbiami</w:t>
            </w:r>
            <w:r w:rsidR="005826A9">
              <w:rPr>
                <w:lang w:val="lt-LT"/>
              </w:rPr>
              <w:t>)</w:t>
            </w:r>
            <w:r w:rsidR="00D34063" w:rsidRPr="00D34063">
              <w:rPr>
                <w:color w:val="000000"/>
                <w:lang w:val="lt-LT"/>
              </w:rPr>
              <w:t xml:space="preserve">, esantį adresu Respublikos g. </w:t>
            </w:r>
            <w:r w:rsidR="005826A9">
              <w:rPr>
                <w:lang w:val="lt-LT"/>
              </w:rPr>
              <w:t>(</w:t>
            </w:r>
            <w:r w:rsidR="00327BA8">
              <w:rPr>
                <w:i/>
                <w:iCs/>
                <w:lang w:val="lt-LT"/>
              </w:rPr>
              <w:t>duomenys</w:t>
            </w:r>
            <w:r w:rsidR="005826A9" w:rsidRPr="00F3442B">
              <w:rPr>
                <w:i/>
                <w:iCs/>
                <w:lang w:val="lt-LT"/>
              </w:rPr>
              <w:t xml:space="preserve"> neskelbiam</w:t>
            </w:r>
            <w:r w:rsidR="00327BA8">
              <w:rPr>
                <w:i/>
                <w:iCs/>
                <w:lang w:val="lt-LT"/>
              </w:rPr>
              <w:t>i</w:t>
            </w:r>
            <w:r w:rsidR="005826A9">
              <w:rPr>
                <w:lang w:val="lt-LT"/>
              </w:rPr>
              <w:t>)</w:t>
            </w:r>
            <w:r w:rsidR="00D34063" w:rsidRPr="00D34063">
              <w:rPr>
                <w:color w:val="000000"/>
                <w:lang w:val="lt-LT"/>
              </w:rPr>
              <w:t>, Rokiškio miest</w:t>
            </w:r>
            <w:r w:rsidR="00BE603F">
              <w:rPr>
                <w:color w:val="000000"/>
                <w:lang w:val="lt-LT"/>
              </w:rPr>
              <w:t>e</w:t>
            </w:r>
            <w:r w:rsidR="00D34063" w:rsidRPr="00D34063">
              <w:rPr>
                <w:color w:val="000000"/>
                <w:lang w:val="lt-LT"/>
              </w:rPr>
              <w:t>, Rokiškio rajono savivaldybė</w:t>
            </w:r>
            <w:r w:rsidR="00BE603F">
              <w:rPr>
                <w:color w:val="000000"/>
                <w:lang w:val="lt-LT"/>
              </w:rPr>
              <w:t>je</w:t>
            </w:r>
            <w:r w:rsidR="00D34063">
              <w:rPr>
                <w:color w:val="000000"/>
                <w:lang w:val="lt-LT"/>
              </w:rPr>
              <w:t>,</w:t>
            </w:r>
            <w:r w:rsidR="0097363E">
              <w:rPr>
                <w:color w:val="000000"/>
                <w:lang w:val="lt-LT"/>
              </w:rPr>
              <w:t xml:space="preserve"> </w:t>
            </w:r>
            <w:r w:rsidR="00033594">
              <w:rPr>
                <w:bCs/>
                <w:lang w:val="lt-LT"/>
              </w:rPr>
              <w:t xml:space="preserve">nuosavybės teise priklausantiems </w:t>
            </w:r>
            <w:r w:rsidR="00013831">
              <w:rPr>
                <w:bCs/>
                <w:lang w:val="lt-LT"/>
              </w:rPr>
              <w:t>statini</w:t>
            </w:r>
            <w:r w:rsidR="00033594">
              <w:rPr>
                <w:bCs/>
                <w:lang w:val="lt-LT"/>
              </w:rPr>
              <w:t>ams</w:t>
            </w:r>
            <w:r w:rsidR="00013831">
              <w:rPr>
                <w:bCs/>
                <w:lang w:val="lt-LT"/>
              </w:rPr>
              <w:t xml:space="preserve">: </w:t>
            </w:r>
            <w:r w:rsidR="00013831">
              <w:rPr>
                <w:lang w:val="lt-LT"/>
              </w:rPr>
              <w:t>pastatas- sandėlis su prekybos patalpa, unikalus Nr. 7396-5003-</w:t>
            </w:r>
            <w:r w:rsidR="005826A9">
              <w:rPr>
                <w:lang w:val="lt-LT"/>
              </w:rPr>
              <w:t>(</w:t>
            </w:r>
            <w:r w:rsidR="005826A9" w:rsidRPr="00F3442B">
              <w:rPr>
                <w:i/>
                <w:iCs/>
                <w:lang w:val="lt-LT"/>
              </w:rPr>
              <w:t>duomenys neskelbiami</w:t>
            </w:r>
            <w:r w:rsidR="005826A9">
              <w:rPr>
                <w:lang w:val="lt-LT"/>
              </w:rPr>
              <w:t>)</w:t>
            </w:r>
            <w:r w:rsidR="00013831">
              <w:rPr>
                <w:lang w:val="lt-LT"/>
              </w:rPr>
              <w:t>, pastatas- parduotuvė, unikalus Nr. 4400-3985-</w:t>
            </w:r>
            <w:r w:rsidR="005826A9">
              <w:rPr>
                <w:lang w:val="lt-LT"/>
              </w:rPr>
              <w:t>(</w:t>
            </w:r>
            <w:r w:rsidR="005826A9" w:rsidRPr="00F3442B">
              <w:rPr>
                <w:i/>
                <w:iCs/>
                <w:lang w:val="lt-LT"/>
              </w:rPr>
              <w:t>duomenys neskelbiami</w:t>
            </w:r>
            <w:r w:rsidR="005826A9">
              <w:rPr>
                <w:lang w:val="lt-LT"/>
              </w:rPr>
              <w:t>)</w:t>
            </w:r>
            <w:r w:rsidR="00033594">
              <w:rPr>
                <w:lang w:val="lt-LT"/>
              </w:rPr>
              <w:t>,</w:t>
            </w:r>
            <w:r w:rsidR="00013831">
              <w:rPr>
                <w:lang w:val="lt-LT"/>
              </w:rPr>
              <w:t xml:space="preserve"> </w:t>
            </w:r>
            <w:r w:rsidR="00033594">
              <w:rPr>
                <w:bCs/>
                <w:lang w:val="lt-LT"/>
              </w:rPr>
              <w:t>eksploatuoti (statinių pirkimo- pardavimo sutartis Nr. 125).</w:t>
            </w:r>
          </w:p>
        </w:tc>
      </w:tr>
      <w:tr w:rsidR="001910CC" w:rsidRPr="00183766"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1059F45C" w:rsidR="00B36FD6" w:rsidRDefault="00040DD6" w:rsidP="0083315F">
            <w:pPr>
              <w:jc w:val="both"/>
              <w:rPr>
                <w:i/>
                <w:iCs/>
                <w:color w:val="000000"/>
                <w:lang w:val="lt-LT"/>
              </w:rPr>
            </w:pPr>
            <w:r>
              <w:rPr>
                <w:lang w:val="lt-LT"/>
              </w:rPr>
              <w:t xml:space="preserve">     </w:t>
            </w:r>
            <w:r w:rsidR="007B65D2" w:rsidRPr="008D0BD8">
              <w:rPr>
                <w:lang w:val="lt-LT"/>
              </w:rPr>
              <w:t xml:space="preserve">Lietuvos Respublikos vietos savivaldos įstatymo </w:t>
            </w:r>
            <w:r w:rsidR="007B65D2">
              <w:rPr>
                <w:lang w:val="lt-LT"/>
              </w:rPr>
              <w:t xml:space="preserve">7 straipsnio 9 punktas nustato: </w:t>
            </w:r>
            <w:r w:rsidR="007B65D2" w:rsidRPr="007B65D2">
              <w:rPr>
                <w:i/>
                <w:iCs/>
                <w:lang w:val="lt-LT"/>
              </w:rPr>
              <w:t>v</w:t>
            </w:r>
            <w:r w:rsidR="007B65D2" w:rsidRPr="007B65D2">
              <w:rPr>
                <w:i/>
                <w:iCs/>
                <w:color w:val="000000"/>
                <w:lang w:val="lt-LT"/>
              </w:rPr>
              <w:t>alstybinės (valstybės</w:t>
            </w:r>
            <w:r w:rsidR="007B65D2" w:rsidRPr="007B65D2">
              <w:rPr>
                <w:b/>
                <w:bCs/>
                <w:i/>
                <w:iCs/>
                <w:color w:val="000000"/>
                <w:lang w:val="lt-LT"/>
              </w:rPr>
              <w:t> </w:t>
            </w:r>
            <w:r w:rsidR="007B65D2" w:rsidRPr="007B65D2">
              <w:rPr>
                <w:i/>
                <w:iCs/>
                <w:color w:val="000000"/>
                <w:lang w:val="lt-LT"/>
              </w:rPr>
              <w:t>perduotos savivaldybėms) funkcijos yra: savivaldybei priskirtos valstybinės žemės ir kito valstybės turto valdymas, naudojimas ir disponavimas juo patikėjimo teise;</w:t>
            </w:r>
            <w:r w:rsidR="007B65D2" w:rsidRPr="00FC238E">
              <w:rPr>
                <w:color w:val="000000"/>
                <w:lang w:val="lt-LT"/>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sidR="007B65D2">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79BEA4F5" w14:textId="6E169734" w:rsidR="00001F0D" w:rsidRDefault="005826A9" w:rsidP="005826A9">
            <w:pPr>
              <w:widowControl w:val="0"/>
              <w:jc w:val="both"/>
              <w:rPr>
                <w:color w:val="000000"/>
                <w:lang w:val="lt-LT" w:eastAsia="lt-LT"/>
                <w14:ligatures w14:val="none"/>
              </w:rPr>
            </w:pPr>
            <w:r>
              <w:rPr>
                <w:lang w:val="lt-LT"/>
              </w:rPr>
              <w:t xml:space="preserve">     </w:t>
            </w:r>
            <w:r w:rsidR="003465BE" w:rsidRPr="00183766">
              <w:rPr>
                <w:lang w:val="lt-LT"/>
              </w:rPr>
              <w:t xml:space="preserve">Lietuvos Respublikos </w:t>
            </w:r>
            <w:r w:rsidR="003465BE" w:rsidRPr="00183766">
              <w:rPr>
                <w:color w:val="000000"/>
                <w:lang w:val="lt-LT"/>
              </w:rPr>
              <w:t xml:space="preserve">žemės įstatymo </w:t>
            </w:r>
            <w:r w:rsidR="003465BE">
              <w:rPr>
                <w:color w:val="000000"/>
                <w:lang w:val="lt-LT"/>
              </w:rPr>
              <w:t>7</w:t>
            </w:r>
            <w:r w:rsidR="003465BE" w:rsidRPr="00183766">
              <w:rPr>
                <w:rFonts w:eastAsia="Calibri"/>
                <w:lang w:val="lt-LT"/>
              </w:rPr>
              <w:t xml:space="preserve"> straipsnio 1 dali</w:t>
            </w:r>
            <w:r w:rsidR="003465BE">
              <w:rPr>
                <w:rFonts w:eastAsia="Calibri"/>
                <w:lang w:val="lt-LT"/>
              </w:rPr>
              <w:t xml:space="preserve">es 2 punktas nustato: </w:t>
            </w:r>
            <w:r w:rsidR="003465BE" w:rsidRPr="00C01E94">
              <w:rPr>
                <w:lang w:val="lt-LT"/>
              </w:rPr>
              <w:t>v</w:t>
            </w:r>
            <w:r w:rsidR="003465BE" w:rsidRPr="00C01E94">
              <w:rPr>
                <w:i/>
                <w:iCs/>
                <w:color w:val="000000"/>
                <w:lang w:val="lt-LT"/>
              </w:rPr>
              <w:t>alstybinės žemės patikėjimo teisės subjektai (patikėtiniai) yra:</w:t>
            </w:r>
            <w:r w:rsidR="003465BE" w:rsidRPr="00C01E94">
              <w:rPr>
                <w:color w:val="000000"/>
                <w:lang w:val="lt-LT"/>
              </w:rPr>
              <w:t xml:space="preserve"> </w:t>
            </w:r>
            <w:r w:rsidR="003465BE" w:rsidRPr="00C01E94">
              <w:rPr>
                <w:i/>
                <w:iCs/>
                <w:color w:val="000000"/>
                <w:lang w:val="lt-LT"/>
              </w:rPr>
              <w:t>sav</w:t>
            </w:r>
            <w:r w:rsidR="003465BE"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 xml:space="preserve">Valstybinės žemės sklypus įstatymų ir kitų </w:t>
            </w:r>
            <w:r w:rsidR="001910CC" w:rsidRPr="00B7218B">
              <w:rPr>
                <w:i/>
                <w:iCs/>
                <w:color w:val="000000"/>
                <w:lang w:val="lt-LT" w:eastAsia="lt-LT"/>
                <w14:ligatures w14:val="none"/>
              </w:rPr>
              <w:lastRenderedPageBreak/>
              <w:t>teisės aktų nustatyta tvarka išnuomoja:</w:t>
            </w:r>
            <w:bookmarkStart w:id="1" w:name="part_d7018cd4ceca46d1b2ddc16a25d53d37"/>
            <w:bookmarkEnd w:id="1"/>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savivaldybių tarybos – valstybinės žemės sklypus, perduotus patikėjimo teise savivaldybėms. Sprendimą išnuomoti valstybinės žemės sklypą priima savivaldybės taryba, o valstybinės žemės nuomos sutartį sudaro meras arba jo įgaliotas savivaldybės administracijos direktorius;</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784C83">
              <w:rPr>
                <w:color w:val="000000"/>
                <w:lang w:val="lt-LT"/>
              </w:rPr>
              <w:t>9</w:t>
            </w:r>
            <w:r w:rsidR="00784C83" w:rsidRPr="00183766">
              <w:rPr>
                <w:rFonts w:eastAsia="Calibri"/>
                <w:lang w:val="lt-LT"/>
              </w:rPr>
              <w:t xml:space="preserve"> straipsnio </w:t>
            </w:r>
            <w:r w:rsidR="00784C83">
              <w:rPr>
                <w:rFonts w:eastAsia="Calibri"/>
                <w:lang w:val="lt-LT"/>
              </w:rPr>
              <w:t>6</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rsidRPr="00FC238E">
              <w:rPr>
                <w:lang w:val="lt-LT"/>
              </w:rPr>
              <w:t xml:space="preserve"> </w:t>
            </w:r>
            <w:r w:rsidR="00784C83" w:rsidRPr="00784C83">
              <w:rPr>
                <w:i/>
                <w:iCs/>
                <w:color w:val="000000"/>
                <w:lang w:val="lt-LT" w:eastAsia="lt-LT"/>
                <w14:ligatures w14:val="none"/>
              </w:rPr>
              <w:t>Valstybinė žemė išnuomojama be aukciono, jeigu</w:t>
            </w:r>
            <w:bookmarkStart w:id="2" w:name="part_b848e7e6c2374b44bc7f56be395ee9d3"/>
            <w:bookmarkEnd w:id="2"/>
            <w:r w:rsidR="00784C83" w:rsidRPr="00784C83">
              <w:rPr>
                <w:i/>
                <w:iCs/>
                <w:color w:val="000000"/>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sidR="00784C83" w:rsidRPr="00784C83">
              <w:rPr>
                <w:color w:val="000000"/>
                <w:lang w:val="lt-LT" w:eastAsia="lt-LT"/>
                <w14:ligatures w14:val="none"/>
              </w:rPr>
              <w:t xml:space="preserve"> </w:t>
            </w:r>
            <w:r w:rsidR="00784C83" w:rsidRPr="00784C83">
              <w:rPr>
                <w:i/>
                <w:iCs/>
                <w:color w:val="000000"/>
                <w:lang w:val="lt-LT" w:eastAsia="lt-LT"/>
                <w14:ligatures w14:val="none"/>
              </w:rPr>
              <w:t>šio straipsnio 24 ir 25 dalyse nustatytus atvejus.</w:t>
            </w:r>
            <w:r w:rsidR="00784C83" w:rsidRPr="00784C83">
              <w:rPr>
                <w:color w:val="000000"/>
                <w:lang w:val="lt-LT" w:eastAsia="lt-LT"/>
                <w14:ligatures w14:val="none"/>
              </w:rPr>
              <w:t xml:space="preserve"> </w:t>
            </w:r>
            <w:r w:rsidR="00FF49FC" w:rsidRPr="00183766">
              <w:rPr>
                <w:lang w:val="lt-LT"/>
              </w:rPr>
              <w:t xml:space="preserve">Lietuvos Respublikos </w:t>
            </w:r>
            <w:r w:rsidR="00FF49FC" w:rsidRPr="00183766">
              <w:rPr>
                <w:color w:val="000000"/>
                <w:lang w:val="lt-LT"/>
              </w:rPr>
              <w:t xml:space="preserve">žemės įstatymo </w:t>
            </w:r>
            <w:r w:rsidR="00FF49FC">
              <w:rPr>
                <w:color w:val="000000"/>
                <w:lang w:val="lt-LT"/>
              </w:rPr>
              <w:t>9</w:t>
            </w:r>
            <w:r w:rsidR="00FF49FC" w:rsidRPr="00183766">
              <w:rPr>
                <w:rFonts w:eastAsia="Calibri"/>
                <w:lang w:val="lt-LT"/>
              </w:rPr>
              <w:t xml:space="preserve"> straipsnio </w:t>
            </w:r>
            <w:r w:rsidR="00FF49FC">
              <w:rPr>
                <w:rFonts w:eastAsia="Calibri"/>
                <w:lang w:val="lt-LT"/>
              </w:rPr>
              <w:t>3</w:t>
            </w:r>
            <w:r w:rsidR="00FF49FC" w:rsidRPr="00183766">
              <w:rPr>
                <w:rFonts w:eastAsia="Calibri"/>
                <w:lang w:val="lt-LT"/>
              </w:rPr>
              <w:t xml:space="preserve"> dali</w:t>
            </w:r>
            <w:r w:rsidR="00FF49FC">
              <w:rPr>
                <w:rFonts w:eastAsia="Calibri"/>
                <w:lang w:val="lt-LT"/>
              </w:rPr>
              <w:t xml:space="preserve">s </w:t>
            </w:r>
            <w:r w:rsidR="00FF49FC" w:rsidRPr="00183766">
              <w:rPr>
                <w:lang w:val="lt-LT"/>
              </w:rPr>
              <w:t>nustato</w:t>
            </w:r>
            <w:r w:rsidR="00FF49FC">
              <w:rPr>
                <w:lang w:val="lt-LT"/>
              </w:rPr>
              <w:t>:</w:t>
            </w:r>
            <w:r w:rsidR="00FF49FC" w:rsidRPr="00FC238E">
              <w:rPr>
                <w:color w:val="000000"/>
                <w:lang w:val="lt-LT"/>
              </w:rPr>
              <w:t xml:space="preserve"> </w:t>
            </w:r>
            <w:r w:rsidR="00FF49FC" w:rsidRPr="00FF49FC">
              <w:rPr>
                <w:i/>
                <w:iCs/>
                <w:color w:val="000000"/>
                <w:lang w:val="lt-LT"/>
              </w:rPr>
              <w:t>Valstybinės žemės nuomos terminas nustatomas nuomotojo ir nuomininko susitarimu, ne ilgiau kaip 99 metams. Kai išnuomojama valstybinė žemės ūkio paskirties žemė, žemės nuomos terminas negali būti ilgesnis kaip 25 metai. Valstybinės žemės sklypai laikiniems statiniams statyti ir eksploatuoti išnuomojami Statybos įstatymo nustatytam tokių statinių naudojimo terminui. Visais kitais atvejais valstybinės žemės sklypų, išnuomojamų statiniams ar įrenginiams eksploatuoti arba statyti ir eksploatuoti, nuomos terminas nustatomas atsižvelgiant į ekonomiškai pagrįstą statinio ar įrenginio naudojimo trukmę. Valstybinės žemės nuomos termino nustatymo motyvai turi būti išdėstyti sprendime išnuomoti valstybinės žemės sklypą.</w:t>
            </w:r>
          </w:p>
          <w:p w14:paraId="0AAF2DB8" w14:textId="7CD1B349" w:rsidR="00001F0D" w:rsidRPr="00001F0D" w:rsidRDefault="000373FB" w:rsidP="000373FB">
            <w:pPr>
              <w:widowControl w:val="0"/>
              <w:jc w:val="both"/>
              <w:rPr>
                <w:i/>
                <w:iCs/>
                <w:lang w:val="lt-LT"/>
              </w:rPr>
            </w:pPr>
            <w:r>
              <w:rPr>
                <w:lang w:val="lt-LT"/>
              </w:rPr>
              <w:t xml:space="preserve">      </w:t>
            </w:r>
            <w:r w:rsidR="00986CCA">
              <w:rPr>
                <w:lang w:val="lt-LT"/>
              </w:rPr>
              <w:t>Dėl</w:t>
            </w:r>
            <w:r w:rsidR="001910CC" w:rsidRPr="00E30C4B">
              <w:rPr>
                <w:lang w:val="lt-LT"/>
              </w:rPr>
              <w:t xml:space="preserve"> kitos paskirties valstybinės žemės sklypų pardavimo ir nuomos taisyklių, patvirtintų Lietuvos Respublikos Vyriausybės 1999-03-09 nutarimu Nr. 260 ,,Dėl naudojamų kitos paskirties valstybinės žemės sklypų pardavimo ir nuomos“</w:t>
            </w:r>
            <w:r w:rsidR="00986CCA" w:rsidRPr="00482C77">
              <w:rPr>
                <w:lang w:val="lt-LT"/>
              </w:rPr>
              <w:t xml:space="preserve"> (Lietuvos Respublikos Vyriausybės 2024 m. kovo 27 d. nutarimo Nr. </w:t>
            </w:r>
            <w:r w:rsidR="00986CCA" w:rsidRPr="00482C77">
              <w:rPr>
                <w:lang w:val="lt-LT" w:eastAsia="lt-LT"/>
              </w:rPr>
              <w:t>210</w:t>
            </w:r>
            <w:r w:rsidR="00986CCA" w:rsidRPr="00482C77">
              <w:rPr>
                <w:lang w:val="lt-LT"/>
              </w:rPr>
              <w:t xml:space="preserve"> redakcija)</w:t>
            </w:r>
            <w:r w:rsidR="00244DB7">
              <w:rPr>
                <w:lang w:val="lt-LT"/>
              </w:rPr>
              <w:t xml:space="preserve"> (toliau- Taisyklės)</w:t>
            </w:r>
            <w:r w:rsidR="004C4711">
              <w:rPr>
                <w:lang w:val="lt-LT"/>
              </w:rPr>
              <w:t xml:space="preserve">, </w:t>
            </w:r>
            <w:r w:rsidR="00001F0D">
              <w:rPr>
                <w:lang w:val="lt-LT"/>
              </w:rPr>
              <w:t>35</w:t>
            </w:r>
            <w:r w:rsidR="004C4711">
              <w:rPr>
                <w:lang w:val="lt-LT"/>
              </w:rPr>
              <w:t xml:space="preserve"> punkte nurodyta: </w:t>
            </w:r>
            <w:r w:rsidR="00001F0D" w:rsidRPr="00001F0D">
              <w:rPr>
                <w:i/>
                <w:iCs/>
                <w:lang w:val="lt-LT"/>
              </w:rPr>
              <w:t>Naudojamus žemės sklypus (jų dalis) be aukciono turi teisę išsinuomoti Lietuvos Respublikos fiziniai ir juridiniai asmenys, užsieniečiai, užsienio juridiniai asmenys ir kitos užsienio organizacijos (toliau visi kartu šiame skirsnyje – asmenys), kuriems šiuose žemės sklypuose (jų dalyse) esantys savarankiškai funkcionuojantys statiniai ar įrenginiai priklauso nuosavybės teise arba yra jų nuomojami.</w:t>
            </w:r>
          </w:p>
          <w:p w14:paraId="2FFC364B" w14:textId="69ABE4EE" w:rsidR="00AE785B" w:rsidRPr="00AE785B" w:rsidRDefault="000373FB" w:rsidP="000373FB">
            <w:pPr>
              <w:widowControl w:val="0"/>
              <w:jc w:val="both"/>
              <w:rPr>
                <w:i/>
                <w:iCs/>
                <w:lang w:val="lt-LT"/>
              </w:rPr>
            </w:pPr>
            <w:r>
              <w:rPr>
                <w:color w:val="000000"/>
                <w:lang w:val="lt-LT"/>
              </w:rPr>
              <w:t xml:space="preserve">       </w:t>
            </w:r>
            <w:r w:rsidR="00A70AD6" w:rsidRPr="00A70AD6">
              <w:rPr>
                <w:color w:val="000000"/>
                <w:lang w:val="lt-LT"/>
              </w:rPr>
              <w:t>Taisyklių</w:t>
            </w:r>
            <w:r w:rsidR="00A70AD6">
              <w:rPr>
                <w:i/>
                <w:iCs/>
                <w:color w:val="000000"/>
                <w:lang w:val="lt-LT"/>
              </w:rPr>
              <w:t xml:space="preserve"> </w:t>
            </w:r>
            <w:r w:rsidR="001910CC" w:rsidRPr="00471828">
              <w:rPr>
                <w:color w:val="000000" w:themeColor="text1"/>
                <w:lang w:val="lt-LT"/>
              </w:rPr>
              <w:t>4</w:t>
            </w:r>
            <w:r w:rsidR="00AE785B">
              <w:rPr>
                <w:color w:val="000000" w:themeColor="text1"/>
                <w:lang w:val="lt-LT"/>
              </w:rPr>
              <w:t>4</w:t>
            </w:r>
            <w:r w:rsidR="001910CC" w:rsidRPr="00E22DA6">
              <w:rPr>
                <w:lang w:val="lt-LT"/>
              </w:rPr>
              <w:t xml:space="preserve"> p</w:t>
            </w:r>
            <w:r w:rsidR="001910CC">
              <w:rPr>
                <w:lang w:val="lt-LT"/>
              </w:rPr>
              <w:t xml:space="preserve">unkte nurodyta, kad </w:t>
            </w:r>
            <w:r w:rsidR="00AE785B" w:rsidRPr="00AE785B">
              <w:rPr>
                <w:i/>
                <w:iCs/>
                <w:lang w:val="lt-LT"/>
              </w:rPr>
              <w:t>Valstybinės žemės nuomos procedūrą vykdanti institucija valstybinės žemės nuomos sutarties projektą pateikia</w:t>
            </w:r>
            <w:r w:rsidR="00AE785B" w:rsidRPr="00AE785B">
              <w:rPr>
                <w:i/>
                <w:iCs/>
                <w:lang w:val="lt-LT" w:eastAsia="lt-LT"/>
              </w:rPr>
              <w:t xml:space="preserve"> </w:t>
            </w:r>
            <w:r w:rsidR="00AE785B" w:rsidRPr="00AE785B">
              <w:rPr>
                <w:i/>
                <w:iCs/>
                <w:lang w:val="lt-LT"/>
              </w:rPr>
              <w:t xml:space="preserve">nuomininkui. Pasirašydamas sutarties projekte nuomininkas patvirtina, kad sutinka su sutarties projekte įrašytomis žemės sklypo nuomos sąlygomis. </w:t>
            </w:r>
            <w:r w:rsidR="00AE785B" w:rsidRPr="00AE785B">
              <w:rPr>
                <w:i/>
                <w:iCs/>
                <w:color w:val="000000"/>
                <w:lang w:val="lt-LT" w:eastAsia="lt-LT"/>
              </w:rPr>
              <w:t xml:space="preserve">Sprendimas išnuomoti žemės sklypą ar jo dalį arba prašymo netenkinti priimamas per 10 darbo dienų, kai valstybinės žemės nuomotojas yra savivaldybės taryba, – artimiausiame tarybos posėdyje, nuo valstybinės žemės nuomos sutarties projekto suderinimo su nuomininku. Jeigu priimamas sprendimas išnuomoti žemės sklypą ar jo dalį, jame nurodoma, kad žemės sklypas ar jo dalis išnuomojami valstybinės žemės nuomos sutarties projekte įrašytomis sąlygomis ir nurodomi </w:t>
            </w:r>
            <w:r w:rsidR="00AE785B" w:rsidRPr="00AE785B">
              <w:rPr>
                <w:i/>
                <w:iCs/>
                <w:color w:val="000000"/>
                <w:lang w:val="lt-LT" w:eastAsia="lt-LT"/>
              </w:rPr>
              <w:lastRenderedPageBreak/>
              <w:t>žemės sklypo nuomos termino nustatymo motyvai. Sutarties projektas pridedamas prie sprendimo išnuomoti žemės sklypą kaip neatskiriamas priedas.</w:t>
            </w:r>
            <w:r w:rsidR="00AE785B" w:rsidRPr="00AE785B">
              <w:rPr>
                <w:b/>
                <w:bCs/>
                <w:i/>
                <w:iCs/>
                <w:color w:val="000000"/>
                <w:lang w:val="lt-LT" w:eastAsia="lt-LT"/>
              </w:rPr>
              <w:t xml:space="preserve"> </w:t>
            </w:r>
            <w:r w:rsidR="00AE785B" w:rsidRPr="00AE785B">
              <w:rPr>
                <w:i/>
                <w:iCs/>
                <w:color w:val="000000"/>
                <w:lang w:val="lt-LT" w:eastAsia="lt-LT"/>
              </w:rPr>
              <w:t xml:space="preserve">Ginčai dėl sprendimo išnuomoti žemės sklypą ar jo dalį, taip pat sprendimo netenkinti prašymo </w:t>
            </w:r>
            <w:r w:rsidR="00AE785B" w:rsidRPr="00AE785B">
              <w:rPr>
                <w:i/>
                <w:iCs/>
                <w:lang w:val="lt-LT" w:eastAsia="lt-LT"/>
              </w:rPr>
              <w:t>nagrinėjami bendrosios kompetencijos teisme</w:t>
            </w:r>
            <w:r w:rsidR="00AE785B" w:rsidRPr="00AE785B">
              <w:rPr>
                <w:i/>
                <w:iCs/>
                <w:lang w:val="lt-LT"/>
              </w:rPr>
              <w:t>.</w:t>
            </w:r>
          </w:p>
          <w:p w14:paraId="6E2F8D94" w14:textId="52B7020B" w:rsidR="005A10A9" w:rsidRPr="007372C5" w:rsidRDefault="00663713" w:rsidP="0083315F">
            <w:pPr>
              <w:jc w:val="both"/>
              <w:rPr>
                <w:color w:val="000000"/>
                <w:lang w:val="lt-LT"/>
              </w:rPr>
            </w:pPr>
            <w:r>
              <w:rPr>
                <w:color w:val="000000"/>
                <w:lang w:val="lt-LT"/>
              </w:rPr>
              <w:t xml:space="preserve">    </w:t>
            </w:r>
            <w:r w:rsidR="00ED7D85" w:rsidRPr="00AE785B">
              <w:rPr>
                <w:color w:val="000000"/>
                <w:lang w:val="lt-LT"/>
              </w:rPr>
              <w:t>2024-0</w:t>
            </w:r>
            <w:r w:rsidR="00000427" w:rsidRPr="00AE785B">
              <w:rPr>
                <w:color w:val="000000"/>
                <w:lang w:val="lt-LT"/>
              </w:rPr>
              <w:t>3</w:t>
            </w:r>
            <w:r w:rsidR="00ED7D85" w:rsidRPr="00AE785B">
              <w:rPr>
                <w:color w:val="000000"/>
                <w:lang w:val="lt-LT"/>
              </w:rPr>
              <w:t>-</w:t>
            </w:r>
            <w:r w:rsidR="00000427" w:rsidRPr="00AE785B">
              <w:rPr>
                <w:color w:val="000000"/>
                <w:lang w:val="lt-LT"/>
              </w:rPr>
              <w:t>19</w:t>
            </w:r>
            <w:r w:rsidR="00ED7D85" w:rsidRPr="00AE785B">
              <w:rPr>
                <w:color w:val="000000"/>
                <w:lang w:val="lt-LT"/>
              </w:rPr>
              <w:t xml:space="preserve"> buvo atliktas faktinių duomenų patikrinimas vietoje, kurio metu nustatyta, kad  žemės sklype esantys pastatai yra geros būklės ir yra tinkami naudoti pagal Nekilnojamojo turto registre</w:t>
            </w:r>
            <w:r w:rsidR="00ED7D85">
              <w:rPr>
                <w:color w:val="000000"/>
                <w:lang w:val="lt-LT"/>
              </w:rPr>
              <w:t xml:space="preserve"> įregistruotą pagrindinę paskirtį</w:t>
            </w:r>
            <w:r w:rsidR="00497B65">
              <w:rPr>
                <w:color w:val="000000"/>
                <w:lang w:val="lt-LT"/>
              </w:rPr>
              <w:t xml:space="preserve"> (Faktinių duomenų patikrinimo vietoje aktas,</w:t>
            </w:r>
            <w:r w:rsidR="00ED7D85">
              <w:rPr>
                <w:color w:val="000000"/>
                <w:lang w:val="lt-LT"/>
              </w:rPr>
              <w:t xml:space="preserve"> reg. Nr. FD-</w:t>
            </w:r>
            <w:r w:rsidR="00000427">
              <w:rPr>
                <w:color w:val="000000"/>
                <w:lang w:val="lt-LT"/>
              </w:rPr>
              <w:t>7</w:t>
            </w:r>
            <w:r w:rsidR="00497B65">
              <w:rPr>
                <w:color w:val="000000"/>
                <w:lang w:val="lt-LT"/>
              </w:rPr>
              <w:t>).</w:t>
            </w:r>
          </w:p>
        </w:tc>
      </w:tr>
      <w:tr w:rsidR="001910CC" w:rsidRPr="00FC238E"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2C6F0198" w:rsidR="001910CC" w:rsidRPr="00000427" w:rsidRDefault="000373FB" w:rsidP="0083315F">
            <w:pPr>
              <w:jc w:val="both"/>
              <w:rPr>
                <w:lang w:val="lt-LT"/>
              </w:rPr>
            </w:pPr>
            <w:r>
              <w:rPr>
                <w:color w:val="000000"/>
                <w:lang w:val="lt-LT"/>
              </w:rPr>
              <w:t xml:space="preserve">    </w:t>
            </w:r>
            <w:r w:rsidR="00000427" w:rsidRPr="00000427">
              <w:rPr>
                <w:color w:val="000000"/>
                <w:lang w:val="lt-LT"/>
              </w:rPr>
              <w:t>Priėmus šį sprendimą, bus išnuomotas valstybinės žemės sklypas, reikalingas nuosavybės teise valdomiems pastatams eksploatuoti.</w:t>
            </w:r>
          </w:p>
        </w:tc>
      </w:tr>
      <w:tr w:rsidR="001910CC" w:rsidRPr="00FC238E"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4E18E752" w:rsidR="001910CC" w:rsidRPr="00183766" w:rsidRDefault="000373FB" w:rsidP="0083315F">
            <w:pPr>
              <w:rPr>
                <w:lang w:val="lt-LT"/>
              </w:rPr>
            </w:pPr>
            <w:r>
              <w:rPr>
                <w:lang w:val="lt-LT"/>
              </w:rPr>
              <w:t xml:space="preserve">    </w:t>
            </w:r>
            <w:r w:rsidR="001910CC" w:rsidRPr="00183766">
              <w:rPr>
                <w:lang w:val="lt-LT"/>
              </w:rPr>
              <w:t>Sprendimui įgyvendinti lėšos nebus reikalingos.</w:t>
            </w:r>
          </w:p>
        </w:tc>
      </w:tr>
      <w:tr w:rsidR="001910CC" w:rsidRPr="00FC238E"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7C18AB17" w:rsidR="001910CC" w:rsidRPr="00183766" w:rsidRDefault="000373FB" w:rsidP="0083315F">
            <w:pPr>
              <w:jc w:val="both"/>
              <w:rPr>
                <w:lang w:val="lt-LT"/>
              </w:rPr>
            </w:pPr>
            <w:r>
              <w:rPr>
                <w:lang w:val="lt-LT"/>
              </w:rPr>
              <w:t xml:space="preserve">    </w:t>
            </w:r>
            <w:r w:rsidR="001910CC"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9023F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BA96" w14:textId="77777777" w:rsidR="009023F5" w:rsidRDefault="009023F5">
      <w:r>
        <w:separator/>
      </w:r>
    </w:p>
  </w:endnote>
  <w:endnote w:type="continuationSeparator" w:id="0">
    <w:p w14:paraId="68FE1B75" w14:textId="77777777" w:rsidR="009023F5" w:rsidRDefault="009023F5">
      <w:r>
        <w:continuationSeparator/>
      </w:r>
    </w:p>
  </w:endnote>
  <w:endnote w:type="continuationNotice" w:id="1">
    <w:p w14:paraId="29F042CD" w14:textId="77777777" w:rsidR="009023F5" w:rsidRDefault="00902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1EEB" w14:textId="77777777" w:rsidR="00724794" w:rsidRDefault="0072479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F10" w14:textId="77777777" w:rsidR="00724794" w:rsidRDefault="0072479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65AF" w14:textId="4BD324FF" w:rsidR="00724794" w:rsidRPr="00CC7990" w:rsidRDefault="00CC7990">
    <w:pPr>
      <w:pStyle w:val="Porat"/>
      <w:rPr>
        <w:lang w:val="lt-LT"/>
      </w:rPr>
    </w:pPr>
    <w:r>
      <w:rPr>
        <w:lang w:val="lt-LT"/>
      </w:rPr>
      <w:t>Asta Butėnaitė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25F2" w14:textId="77777777" w:rsidR="009023F5" w:rsidRDefault="009023F5">
      <w:r>
        <w:separator/>
      </w:r>
    </w:p>
  </w:footnote>
  <w:footnote w:type="continuationSeparator" w:id="0">
    <w:p w14:paraId="1F631FE3" w14:textId="77777777" w:rsidR="009023F5" w:rsidRDefault="009023F5">
      <w:r>
        <w:continuationSeparator/>
      </w:r>
    </w:p>
  </w:footnote>
  <w:footnote w:type="continuationNotice" w:id="1">
    <w:p w14:paraId="6198F839" w14:textId="77777777" w:rsidR="009023F5" w:rsidRDefault="00902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F2F" w14:textId="77777777" w:rsidR="00724794" w:rsidRDefault="0072479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5715D2" w:rsidRDefault="005715D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4DA8D2A2" w:rsidR="005715D2" w:rsidRDefault="00724794">
    <w:pPr>
      <w:pStyle w:val="Porat"/>
      <w:jc w:val="right"/>
    </w:pPr>
    <w:bookmarkStart w:id="3" w:name="specialiojiZyma"/>
    <w:r>
      <w:t xml:space="preserve">Projektas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3831"/>
    <w:rsid w:val="0001731D"/>
    <w:rsid w:val="0002172F"/>
    <w:rsid w:val="000239D7"/>
    <w:rsid w:val="00031E37"/>
    <w:rsid w:val="00033594"/>
    <w:rsid w:val="000352EA"/>
    <w:rsid w:val="000373FB"/>
    <w:rsid w:val="00040DD6"/>
    <w:rsid w:val="00042450"/>
    <w:rsid w:val="00052C14"/>
    <w:rsid w:val="00053F1F"/>
    <w:rsid w:val="000615D0"/>
    <w:rsid w:val="0007034B"/>
    <w:rsid w:val="00077D2E"/>
    <w:rsid w:val="00086547"/>
    <w:rsid w:val="0008691C"/>
    <w:rsid w:val="00087094"/>
    <w:rsid w:val="000874AF"/>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3CC3"/>
    <w:rsid w:val="00145638"/>
    <w:rsid w:val="0014693A"/>
    <w:rsid w:val="00153BBA"/>
    <w:rsid w:val="00172897"/>
    <w:rsid w:val="00173DD6"/>
    <w:rsid w:val="001744E6"/>
    <w:rsid w:val="00174E1E"/>
    <w:rsid w:val="00180577"/>
    <w:rsid w:val="001814E8"/>
    <w:rsid w:val="00182610"/>
    <w:rsid w:val="00185421"/>
    <w:rsid w:val="001910CC"/>
    <w:rsid w:val="001916A6"/>
    <w:rsid w:val="001A1A0E"/>
    <w:rsid w:val="001A4787"/>
    <w:rsid w:val="001B1069"/>
    <w:rsid w:val="001C2906"/>
    <w:rsid w:val="001C4752"/>
    <w:rsid w:val="001C568E"/>
    <w:rsid w:val="001C71CC"/>
    <w:rsid w:val="001E44D0"/>
    <w:rsid w:val="001F507D"/>
    <w:rsid w:val="001F62A5"/>
    <w:rsid w:val="00200959"/>
    <w:rsid w:val="002040F5"/>
    <w:rsid w:val="00236F13"/>
    <w:rsid w:val="00241E84"/>
    <w:rsid w:val="00244DB7"/>
    <w:rsid w:val="00245D76"/>
    <w:rsid w:val="0025339F"/>
    <w:rsid w:val="00287943"/>
    <w:rsid w:val="00287DED"/>
    <w:rsid w:val="00293A99"/>
    <w:rsid w:val="002978B8"/>
    <w:rsid w:val="002A33C7"/>
    <w:rsid w:val="002B6694"/>
    <w:rsid w:val="002C2B18"/>
    <w:rsid w:val="002D31CC"/>
    <w:rsid w:val="002F073B"/>
    <w:rsid w:val="00327BA8"/>
    <w:rsid w:val="00332A08"/>
    <w:rsid w:val="003465BE"/>
    <w:rsid w:val="00347F86"/>
    <w:rsid w:val="00351645"/>
    <w:rsid w:val="003612FF"/>
    <w:rsid w:val="00361AA1"/>
    <w:rsid w:val="00370F6D"/>
    <w:rsid w:val="003717E1"/>
    <w:rsid w:val="00375DBA"/>
    <w:rsid w:val="00380A85"/>
    <w:rsid w:val="00384D29"/>
    <w:rsid w:val="003951B5"/>
    <w:rsid w:val="00397C84"/>
    <w:rsid w:val="003A0C3A"/>
    <w:rsid w:val="003A41F5"/>
    <w:rsid w:val="003A47EE"/>
    <w:rsid w:val="003A5B21"/>
    <w:rsid w:val="003C47E3"/>
    <w:rsid w:val="003C6FBE"/>
    <w:rsid w:val="003D3E5E"/>
    <w:rsid w:val="00404577"/>
    <w:rsid w:val="00406D92"/>
    <w:rsid w:val="00406E09"/>
    <w:rsid w:val="00410814"/>
    <w:rsid w:val="004221B3"/>
    <w:rsid w:val="00425B8B"/>
    <w:rsid w:val="0043468C"/>
    <w:rsid w:val="004470AB"/>
    <w:rsid w:val="0044731B"/>
    <w:rsid w:val="00454905"/>
    <w:rsid w:val="004578D5"/>
    <w:rsid w:val="00461CC9"/>
    <w:rsid w:val="00482C77"/>
    <w:rsid w:val="00485EEF"/>
    <w:rsid w:val="00492728"/>
    <w:rsid w:val="00494538"/>
    <w:rsid w:val="004979DA"/>
    <w:rsid w:val="00497B65"/>
    <w:rsid w:val="004A6C02"/>
    <w:rsid w:val="004B1A36"/>
    <w:rsid w:val="004B4376"/>
    <w:rsid w:val="004B5A86"/>
    <w:rsid w:val="004B7C8C"/>
    <w:rsid w:val="004C4711"/>
    <w:rsid w:val="004D1AF7"/>
    <w:rsid w:val="004D1BEF"/>
    <w:rsid w:val="004D2824"/>
    <w:rsid w:val="004D5AC0"/>
    <w:rsid w:val="004E2A26"/>
    <w:rsid w:val="004F62B2"/>
    <w:rsid w:val="00501E0C"/>
    <w:rsid w:val="005168C2"/>
    <w:rsid w:val="00521F88"/>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26A9"/>
    <w:rsid w:val="0058371F"/>
    <w:rsid w:val="0058751F"/>
    <w:rsid w:val="005877ED"/>
    <w:rsid w:val="005910E9"/>
    <w:rsid w:val="00596BA3"/>
    <w:rsid w:val="005A10A9"/>
    <w:rsid w:val="005C0D62"/>
    <w:rsid w:val="005E1BEE"/>
    <w:rsid w:val="005F55B4"/>
    <w:rsid w:val="00600832"/>
    <w:rsid w:val="00621F5D"/>
    <w:rsid w:val="00622B1E"/>
    <w:rsid w:val="00624178"/>
    <w:rsid w:val="00632416"/>
    <w:rsid w:val="00640BE9"/>
    <w:rsid w:val="006446AE"/>
    <w:rsid w:val="00644AD4"/>
    <w:rsid w:val="00644F99"/>
    <w:rsid w:val="00653397"/>
    <w:rsid w:val="00655C2A"/>
    <w:rsid w:val="0066188C"/>
    <w:rsid w:val="00663713"/>
    <w:rsid w:val="00664ECC"/>
    <w:rsid w:val="00665211"/>
    <w:rsid w:val="006764FB"/>
    <w:rsid w:val="006902FC"/>
    <w:rsid w:val="00690E6C"/>
    <w:rsid w:val="00693D14"/>
    <w:rsid w:val="006A7B2C"/>
    <w:rsid w:val="006B651C"/>
    <w:rsid w:val="006B6994"/>
    <w:rsid w:val="006C25D6"/>
    <w:rsid w:val="006D1933"/>
    <w:rsid w:val="006D5864"/>
    <w:rsid w:val="006F1F4E"/>
    <w:rsid w:val="006F2CBB"/>
    <w:rsid w:val="006F35EB"/>
    <w:rsid w:val="006F7252"/>
    <w:rsid w:val="00701268"/>
    <w:rsid w:val="00702F7F"/>
    <w:rsid w:val="00706B29"/>
    <w:rsid w:val="007104AA"/>
    <w:rsid w:val="00724794"/>
    <w:rsid w:val="00736DBA"/>
    <w:rsid w:val="007372C5"/>
    <w:rsid w:val="0075504A"/>
    <w:rsid w:val="00762E23"/>
    <w:rsid w:val="0076757A"/>
    <w:rsid w:val="00784C83"/>
    <w:rsid w:val="00787CB8"/>
    <w:rsid w:val="00794603"/>
    <w:rsid w:val="007B2574"/>
    <w:rsid w:val="007B65D2"/>
    <w:rsid w:val="007B702E"/>
    <w:rsid w:val="007C009F"/>
    <w:rsid w:val="007C1025"/>
    <w:rsid w:val="007C2448"/>
    <w:rsid w:val="007E0926"/>
    <w:rsid w:val="007E2778"/>
    <w:rsid w:val="007F0C75"/>
    <w:rsid w:val="007F220E"/>
    <w:rsid w:val="007F77B2"/>
    <w:rsid w:val="008025D0"/>
    <w:rsid w:val="008141B0"/>
    <w:rsid w:val="00817BD4"/>
    <w:rsid w:val="00817CCA"/>
    <w:rsid w:val="00824A70"/>
    <w:rsid w:val="0083315F"/>
    <w:rsid w:val="00834E23"/>
    <w:rsid w:val="00835305"/>
    <w:rsid w:val="00840F7D"/>
    <w:rsid w:val="00842CDD"/>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F4435"/>
    <w:rsid w:val="008F5F74"/>
    <w:rsid w:val="009023F5"/>
    <w:rsid w:val="009033A2"/>
    <w:rsid w:val="00921305"/>
    <w:rsid w:val="00921E28"/>
    <w:rsid w:val="00930E93"/>
    <w:rsid w:val="009364DA"/>
    <w:rsid w:val="0097363E"/>
    <w:rsid w:val="0097381C"/>
    <w:rsid w:val="00974D9E"/>
    <w:rsid w:val="00977E23"/>
    <w:rsid w:val="00984494"/>
    <w:rsid w:val="00986CCA"/>
    <w:rsid w:val="00986CCD"/>
    <w:rsid w:val="009B0D91"/>
    <w:rsid w:val="009B3C9D"/>
    <w:rsid w:val="009C0D0E"/>
    <w:rsid w:val="009C1C75"/>
    <w:rsid w:val="009C24F2"/>
    <w:rsid w:val="009C3CEC"/>
    <w:rsid w:val="009C4627"/>
    <w:rsid w:val="009D4812"/>
    <w:rsid w:val="009D5442"/>
    <w:rsid w:val="009D6A70"/>
    <w:rsid w:val="00A022A3"/>
    <w:rsid w:val="00A05653"/>
    <w:rsid w:val="00A11639"/>
    <w:rsid w:val="00A250AF"/>
    <w:rsid w:val="00A32B73"/>
    <w:rsid w:val="00A507AF"/>
    <w:rsid w:val="00A52653"/>
    <w:rsid w:val="00A53513"/>
    <w:rsid w:val="00A652F7"/>
    <w:rsid w:val="00A6549A"/>
    <w:rsid w:val="00A6598F"/>
    <w:rsid w:val="00A65B9E"/>
    <w:rsid w:val="00A70AD6"/>
    <w:rsid w:val="00A714B7"/>
    <w:rsid w:val="00A83196"/>
    <w:rsid w:val="00A83CAE"/>
    <w:rsid w:val="00A8519B"/>
    <w:rsid w:val="00A910C0"/>
    <w:rsid w:val="00AA5A90"/>
    <w:rsid w:val="00AB07B2"/>
    <w:rsid w:val="00AB3A72"/>
    <w:rsid w:val="00AC2D43"/>
    <w:rsid w:val="00AD0EE9"/>
    <w:rsid w:val="00AD4A72"/>
    <w:rsid w:val="00AD756E"/>
    <w:rsid w:val="00AE785B"/>
    <w:rsid w:val="00AF4E42"/>
    <w:rsid w:val="00AF6DA0"/>
    <w:rsid w:val="00B04097"/>
    <w:rsid w:val="00B173F4"/>
    <w:rsid w:val="00B23B54"/>
    <w:rsid w:val="00B241A4"/>
    <w:rsid w:val="00B24A32"/>
    <w:rsid w:val="00B27532"/>
    <w:rsid w:val="00B309FC"/>
    <w:rsid w:val="00B36FD6"/>
    <w:rsid w:val="00B4090E"/>
    <w:rsid w:val="00B425AF"/>
    <w:rsid w:val="00B43A2E"/>
    <w:rsid w:val="00B44208"/>
    <w:rsid w:val="00B50697"/>
    <w:rsid w:val="00B53456"/>
    <w:rsid w:val="00B6592C"/>
    <w:rsid w:val="00B74671"/>
    <w:rsid w:val="00B76CB8"/>
    <w:rsid w:val="00B825B9"/>
    <w:rsid w:val="00B84986"/>
    <w:rsid w:val="00B87347"/>
    <w:rsid w:val="00B9293F"/>
    <w:rsid w:val="00BA17D6"/>
    <w:rsid w:val="00BB66BE"/>
    <w:rsid w:val="00BB74AB"/>
    <w:rsid w:val="00BC5BDD"/>
    <w:rsid w:val="00BD37C0"/>
    <w:rsid w:val="00BD49DC"/>
    <w:rsid w:val="00BD613E"/>
    <w:rsid w:val="00BE0AA2"/>
    <w:rsid w:val="00BE461A"/>
    <w:rsid w:val="00BE603F"/>
    <w:rsid w:val="00BE692D"/>
    <w:rsid w:val="00BF1947"/>
    <w:rsid w:val="00C01E94"/>
    <w:rsid w:val="00C03CBC"/>
    <w:rsid w:val="00C13F39"/>
    <w:rsid w:val="00C15E22"/>
    <w:rsid w:val="00C20F06"/>
    <w:rsid w:val="00C22CCB"/>
    <w:rsid w:val="00C2416A"/>
    <w:rsid w:val="00C24F1F"/>
    <w:rsid w:val="00C25F50"/>
    <w:rsid w:val="00C306EB"/>
    <w:rsid w:val="00C31B38"/>
    <w:rsid w:val="00C35BB6"/>
    <w:rsid w:val="00C46100"/>
    <w:rsid w:val="00C50CB5"/>
    <w:rsid w:val="00C53749"/>
    <w:rsid w:val="00C56AB8"/>
    <w:rsid w:val="00C5763F"/>
    <w:rsid w:val="00C649DC"/>
    <w:rsid w:val="00C75B64"/>
    <w:rsid w:val="00C81AD4"/>
    <w:rsid w:val="00C87A01"/>
    <w:rsid w:val="00C9209E"/>
    <w:rsid w:val="00CA7D2B"/>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24BE7"/>
    <w:rsid w:val="00D34063"/>
    <w:rsid w:val="00D400BF"/>
    <w:rsid w:val="00D50203"/>
    <w:rsid w:val="00D51472"/>
    <w:rsid w:val="00D53EBE"/>
    <w:rsid w:val="00D56253"/>
    <w:rsid w:val="00D613CD"/>
    <w:rsid w:val="00D66486"/>
    <w:rsid w:val="00D703B0"/>
    <w:rsid w:val="00D720F0"/>
    <w:rsid w:val="00D7369D"/>
    <w:rsid w:val="00D85A92"/>
    <w:rsid w:val="00DA6A45"/>
    <w:rsid w:val="00DA6B2C"/>
    <w:rsid w:val="00DB03D1"/>
    <w:rsid w:val="00DB286B"/>
    <w:rsid w:val="00DB5727"/>
    <w:rsid w:val="00DC366E"/>
    <w:rsid w:val="00DC7D75"/>
    <w:rsid w:val="00DD0B23"/>
    <w:rsid w:val="00DD135A"/>
    <w:rsid w:val="00DD2B65"/>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860A4"/>
    <w:rsid w:val="00E91C33"/>
    <w:rsid w:val="00E92D01"/>
    <w:rsid w:val="00E94BF3"/>
    <w:rsid w:val="00E97ABB"/>
    <w:rsid w:val="00EA0D23"/>
    <w:rsid w:val="00EA46FB"/>
    <w:rsid w:val="00EA5026"/>
    <w:rsid w:val="00EB326A"/>
    <w:rsid w:val="00EC2A19"/>
    <w:rsid w:val="00EC371E"/>
    <w:rsid w:val="00EC7C96"/>
    <w:rsid w:val="00ED16AE"/>
    <w:rsid w:val="00ED7D85"/>
    <w:rsid w:val="00EE0B0B"/>
    <w:rsid w:val="00F008DB"/>
    <w:rsid w:val="00F05A1D"/>
    <w:rsid w:val="00F12A3E"/>
    <w:rsid w:val="00F16D54"/>
    <w:rsid w:val="00F200F8"/>
    <w:rsid w:val="00F22615"/>
    <w:rsid w:val="00F23CEE"/>
    <w:rsid w:val="00F24032"/>
    <w:rsid w:val="00F26EB7"/>
    <w:rsid w:val="00F2795E"/>
    <w:rsid w:val="00F32DEA"/>
    <w:rsid w:val="00F334FA"/>
    <w:rsid w:val="00F3442B"/>
    <w:rsid w:val="00F34DC7"/>
    <w:rsid w:val="00F41D64"/>
    <w:rsid w:val="00F434C2"/>
    <w:rsid w:val="00F46129"/>
    <w:rsid w:val="00F562B5"/>
    <w:rsid w:val="00F61BC2"/>
    <w:rsid w:val="00F71407"/>
    <w:rsid w:val="00F71491"/>
    <w:rsid w:val="00F87F84"/>
    <w:rsid w:val="00FA09AE"/>
    <w:rsid w:val="00FA78D9"/>
    <w:rsid w:val="00FB1A01"/>
    <w:rsid w:val="00FB4DAD"/>
    <w:rsid w:val="00FC238E"/>
    <w:rsid w:val="00FD41B6"/>
    <w:rsid w:val="00FE1F2B"/>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6215</Words>
  <Characters>3543</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2</cp:revision>
  <cp:lastPrinted>2024-02-13T09:08:00Z</cp:lastPrinted>
  <dcterms:created xsi:type="dcterms:W3CDTF">2024-04-15T10:35:00Z</dcterms:created>
  <dcterms:modified xsi:type="dcterms:W3CDTF">2024-04-15T10:35:00Z</dcterms:modified>
</cp:coreProperties>
</file>